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31" w:rsidRDefault="00E56AC0" w:rsidP="00E56AC0">
      <w:pPr>
        <w:jc w:val="center"/>
        <w:rPr>
          <w:rFonts w:ascii="Arial" w:hAnsi="Arial" w:cs="Arial"/>
          <w:b/>
          <w:sz w:val="28"/>
          <w:szCs w:val="28"/>
        </w:rPr>
      </w:pPr>
      <w:r w:rsidRPr="00E56AC0">
        <w:rPr>
          <w:rFonts w:ascii="Arial" w:hAnsi="Arial" w:cs="Arial"/>
          <w:b/>
          <w:sz w:val="28"/>
          <w:szCs w:val="28"/>
        </w:rPr>
        <w:t>North East Lincolnshire Adults Social Work Forum</w:t>
      </w:r>
    </w:p>
    <w:p w:rsidR="00D238AF" w:rsidRDefault="00E56AC0" w:rsidP="00E56AC0">
      <w:pPr>
        <w:jc w:val="center"/>
        <w:rPr>
          <w:rFonts w:ascii="Arial" w:hAnsi="Arial" w:cs="Arial"/>
          <w:b/>
          <w:sz w:val="28"/>
          <w:szCs w:val="28"/>
        </w:rPr>
      </w:pPr>
      <w:r>
        <w:rPr>
          <w:rFonts w:ascii="Arial" w:hAnsi="Arial" w:cs="Arial"/>
          <w:b/>
          <w:sz w:val="28"/>
          <w:szCs w:val="28"/>
        </w:rPr>
        <w:t>Team Information</w:t>
      </w:r>
      <w:r w:rsidR="00D238AF">
        <w:rPr>
          <w:rFonts w:ascii="Arial" w:hAnsi="Arial" w:cs="Arial"/>
          <w:b/>
          <w:sz w:val="28"/>
          <w:szCs w:val="28"/>
        </w:rPr>
        <w:t xml:space="preserve"> </w:t>
      </w:r>
    </w:p>
    <w:p w:rsidR="00E56AC0" w:rsidRDefault="00D238AF" w:rsidP="00E56AC0">
      <w:pPr>
        <w:jc w:val="center"/>
        <w:rPr>
          <w:rFonts w:ascii="Arial" w:hAnsi="Arial" w:cs="Arial"/>
          <w:b/>
          <w:sz w:val="28"/>
          <w:szCs w:val="28"/>
        </w:rPr>
      </w:pPr>
      <w:r>
        <w:rPr>
          <w:rFonts w:ascii="Arial" w:hAnsi="Arial" w:cs="Arial"/>
          <w:b/>
          <w:sz w:val="28"/>
          <w:szCs w:val="28"/>
        </w:rPr>
        <w:t xml:space="preserve">June 2018 </w:t>
      </w:r>
    </w:p>
    <w:tbl>
      <w:tblPr>
        <w:tblStyle w:val="TableGrid"/>
        <w:tblW w:w="0" w:type="auto"/>
        <w:tblLook w:val="04A0" w:firstRow="1" w:lastRow="0" w:firstColumn="1" w:lastColumn="0" w:noHBand="0" w:noVBand="1"/>
      </w:tblPr>
      <w:tblGrid>
        <w:gridCol w:w="2547"/>
        <w:gridCol w:w="6469"/>
      </w:tblGrid>
      <w:tr w:rsidR="00D238AF" w:rsidTr="00B3025B">
        <w:tc>
          <w:tcPr>
            <w:tcW w:w="2547" w:type="dxa"/>
          </w:tcPr>
          <w:p w:rsidR="00D238AF" w:rsidRPr="00D238AF" w:rsidRDefault="00D238AF" w:rsidP="00D238AF">
            <w:pPr>
              <w:rPr>
                <w:rFonts w:ascii="Arial" w:hAnsi="Arial" w:cs="Arial"/>
                <w:b/>
              </w:rPr>
            </w:pPr>
            <w:r w:rsidRPr="00D238AF">
              <w:rPr>
                <w:rFonts w:ascii="Arial" w:hAnsi="Arial" w:cs="Arial"/>
                <w:b/>
              </w:rPr>
              <w:t>Name of Team</w:t>
            </w:r>
          </w:p>
        </w:tc>
        <w:tc>
          <w:tcPr>
            <w:tcW w:w="6469" w:type="dxa"/>
          </w:tcPr>
          <w:p w:rsidR="00D238AF" w:rsidRPr="007F2599" w:rsidRDefault="007F2599" w:rsidP="00D238AF">
            <w:pPr>
              <w:rPr>
                <w:b/>
              </w:rPr>
            </w:pPr>
            <w:r w:rsidRPr="007F2599">
              <w:rPr>
                <w:b/>
              </w:rPr>
              <w:t>Liaison and Diversion and Community Forensic Teams</w:t>
            </w:r>
          </w:p>
          <w:p w:rsidR="00D238AF" w:rsidRDefault="00D238AF" w:rsidP="00D238AF"/>
        </w:tc>
      </w:tr>
      <w:tr w:rsidR="003E633F" w:rsidTr="00B3025B">
        <w:tc>
          <w:tcPr>
            <w:tcW w:w="2547" w:type="dxa"/>
          </w:tcPr>
          <w:p w:rsidR="003E633F" w:rsidRDefault="003E633F" w:rsidP="00D238AF">
            <w:pPr>
              <w:rPr>
                <w:rFonts w:ascii="Arial" w:hAnsi="Arial" w:cs="Arial"/>
                <w:b/>
              </w:rPr>
            </w:pPr>
            <w:r>
              <w:rPr>
                <w:rFonts w:ascii="Arial" w:hAnsi="Arial" w:cs="Arial"/>
                <w:b/>
              </w:rPr>
              <w:t xml:space="preserve">Organisation </w:t>
            </w:r>
          </w:p>
        </w:tc>
        <w:tc>
          <w:tcPr>
            <w:tcW w:w="6469" w:type="dxa"/>
          </w:tcPr>
          <w:p w:rsidR="003E633F" w:rsidRPr="00F05A51" w:rsidRDefault="0051102B" w:rsidP="00D238AF">
            <w:pPr>
              <w:rPr>
                <w:b/>
              </w:rPr>
            </w:pPr>
            <w:proofErr w:type="spellStart"/>
            <w:r w:rsidRPr="00F05A51">
              <w:rPr>
                <w:b/>
              </w:rPr>
              <w:t>NAViGO</w:t>
            </w:r>
            <w:proofErr w:type="spellEnd"/>
            <w:r w:rsidRPr="00F05A51">
              <w:rPr>
                <w:b/>
              </w:rPr>
              <w:t xml:space="preserve"> Health and Social Care CIC</w:t>
            </w:r>
          </w:p>
          <w:p w:rsidR="003E633F" w:rsidRDefault="003E633F" w:rsidP="00D238AF"/>
        </w:tc>
      </w:tr>
      <w:tr w:rsidR="00D238AF" w:rsidTr="00B3025B">
        <w:tc>
          <w:tcPr>
            <w:tcW w:w="2547" w:type="dxa"/>
          </w:tcPr>
          <w:p w:rsidR="00D238AF" w:rsidRPr="00D238AF" w:rsidRDefault="00B3025B" w:rsidP="00D238AF">
            <w:pPr>
              <w:rPr>
                <w:rFonts w:ascii="Arial" w:hAnsi="Arial" w:cs="Arial"/>
                <w:b/>
              </w:rPr>
            </w:pPr>
            <w:r>
              <w:rPr>
                <w:rFonts w:ascii="Arial" w:hAnsi="Arial" w:cs="Arial"/>
                <w:b/>
              </w:rPr>
              <w:t xml:space="preserve">Team </w:t>
            </w:r>
            <w:r w:rsidR="005C0145">
              <w:rPr>
                <w:rFonts w:ascii="Arial" w:hAnsi="Arial" w:cs="Arial"/>
                <w:b/>
              </w:rPr>
              <w:t xml:space="preserve">Address </w:t>
            </w:r>
          </w:p>
        </w:tc>
        <w:tc>
          <w:tcPr>
            <w:tcW w:w="6469" w:type="dxa"/>
          </w:tcPr>
          <w:p w:rsidR="00D238AF" w:rsidRPr="007F2599" w:rsidRDefault="007F2599" w:rsidP="00D238AF">
            <w:r w:rsidRPr="007F2599">
              <w:rPr>
                <w:rFonts w:cs="Arial"/>
                <w:color w:val="222222"/>
                <w:shd w:val="clear" w:color="auto" w:fill="FFFFFF"/>
              </w:rPr>
              <w:t>New Street Chambers, New Street, Grimsby DN31 1HH</w:t>
            </w:r>
          </w:p>
          <w:p w:rsidR="00D238AF" w:rsidRDefault="00D238AF" w:rsidP="00D238AF"/>
        </w:tc>
      </w:tr>
      <w:tr w:rsidR="00D238AF" w:rsidTr="00B3025B">
        <w:tc>
          <w:tcPr>
            <w:tcW w:w="2547" w:type="dxa"/>
          </w:tcPr>
          <w:p w:rsidR="00D238AF" w:rsidRDefault="00B3025B" w:rsidP="00D238AF">
            <w:pPr>
              <w:rPr>
                <w:rFonts w:ascii="Arial" w:hAnsi="Arial" w:cs="Arial"/>
                <w:b/>
              </w:rPr>
            </w:pPr>
            <w:r>
              <w:rPr>
                <w:rFonts w:ascii="Arial" w:hAnsi="Arial" w:cs="Arial"/>
                <w:b/>
              </w:rPr>
              <w:t xml:space="preserve">Team </w:t>
            </w:r>
            <w:r w:rsidR="009B5778">
              <w:rPr>
                <w:rFonts w:ascii="Arial" w:hAnsi="Arial" w:cs="Arial"/>
                <w:b/>
              </w:rPr>
              <w:t>Contact D</w:t>
            </w:r>
            <w:r w:rsidR="00D238AF" w:rsidRPr="00D238AF">
              <w:rPr>
                <w:rFonts w:ascii="Arial" w:hAnsi="Arial" w:cs="Arial"/>
                <w:b/>
              </w:rPr>
              <w:t>etails</w:t>
            </w:r>
          </w:p>
          <w:p w:rsidR="00D238AF" w:rsidRPr="00D238AF" w:rsidRDefault="00D238AF" w:rsidP="007F2599">
            <w:pPr>
              <w:rPr>
                <w:rFonts w:ascii="Arial" w:hAnsi="Arial" w:cs="Arial"/>
                <w:b/>
              </w:rPr>
            </w:pPr>
          </w:p>
        </w:tc>
        <w:tc>
          <w:tcPr>
            <w:tcW w:w="6469" w:type="dxa"/>
          </w:tcPr>
          <w:p w:rsidR="009542CE" w:rsidRDefault="009542CE" w:rsidP="00D238AF">
            <w:r>
              <w:t>E-mail:</w:t>
            </w:r>
            <w:r w:rsidRPr="009542CE">
              <w:t xml:space="preserve"> </w:t>
            </w:r>
            <w:hyperlink r:id="rId5" w:history="1">
              <w:r w:rsidRPr="009542CE">
                <w:rPr>
                  <w:rStyle w:val="Hyperlink"/>
                  <w:color w:val="auto"/>
                  <w:u w:val="none"/>
                </w:rPr>
                <w:t>SinglePointofAccess@nhs.net</w:t>
              </w:r>
            </w:hyperlink>
          </w:p>
          <w:p w:rsidR="00D238AF" w:rsidRDefault="007F2599" w:rsidP="00D238AF">
            <w:pPr>
              <w:rPr>
                <w:rFonts w:cs="Arial"/>
                <w:color w:val="222222"/>
                <w:shd w:val="clear" w:color="auto" w:fill="FFFFFF"/>
              </w:rPr>
            </w:pPr>
            <w:r>
              <w:t>Telephone</w:t>
            </w:r>
            <w:r w:rsidRPr="007F2599">
              <w:t xml:space="preserve">: </w:t>
            </w:r>
            <w:r w:rsidRPr="007F2599">
              <w:rPr>
                <w:rFonts w:cs="Arial"/>
                <w:color w:val="222222"/>
                <w:shd w:val="clear" w:color="auto" w:fill="FFFFFF"/>
              </w:rPr>
              <w:t>01472 503150</w:t>
            </w:r>
          </w:p>
          <w:p w:rsidR="009542CE" w:rsidRDefault="009542CE" w:rsidP="00D238AF"/>
        </w:tc>
      </w:tr>
      <w:tr w:rsidR="00D238AF" w:rsidTr="00844912">
        <w:tc>
          <w:tcPr>
            <w:tcW w:w="9016" w:type="dxa"/>
            <w:gridSpan w:val="2"/>
          </w:tcPr>
          <w:p w:rsidR="00D238AF" w:rsidRDefault="00D238AF" w:rsidP="00D238AF">
            <w:pPr>
              <w:rPr>
                <w:rFonts w:ascii="Arial" w:hAnsi="Arial" w:cs="Arial"/>
                <w:b/>
              </w:rPr>
            </w:pPr>
            <w:r>
              <w:rPr>
                <w:rFonts w:ascii="Arial" w:hAnsi="Arial" w:cs="Arial"/>
                <w:b/>
              </w:rPr>
              <w:t>Team Aim/</w:t>
            </w:r>
            <w:r w:rsidRPr="00D238AF">
              <w:rPr>
                <w:rFonts w:ascii="Arial" w:hAnsi="Arial" w:cs="Arial"/>
                <w:b/>
              </w:rPr>
              <w:t xml:space="preserve">Overview </w:t>
            </w:r>
          </w:p>
          <w:p w:rsidR="007F2599" w:rsidRPr="007F2599" w:rsidRDefault="007F2599" w:rsidP="007F2599">
            <w:pPr>
              <w:pStyle w:val="Pa2"/>
              <w:jc w:val="both"/>
              <w:rPr>
                <w:rFonts w:asciiTheme="minorHAnsi" w:hAnsiTheme="minorHAnsi" w:cs="Century Gothic"/>
                <w:color w:val="000000"/>
                <w:sz w:val="22"/>
                <w:szCs w:val="22"/>
              </w:rPr>
            </w:pPr>
          </w:p>
          <w:p w:rsidR="007F2599" w:rsidRPr="007F2599" w:rsidRDefault="007F2599" w:rsidP="007F2599">
            <w:pPr>
              <w:pStyle w:val="Pa2"/>
              <w:jc w:val="both"/>
              <w:rPr>
                <w:rFonts w:asciiTheme="minorHAnsi" w:hAnsiTheme="minorHAnsi" w:cs="Century Gothic"/>
                <w:color w:val="000000"/>
                <w:sz w:val="22"/>
                <w:szCs w:val="22"/>
              </w:rPr>
            </w:pPr>
            <w:r w:rsidRPr="007F2599">
              <w:rPr>
                <w:rStyle w:val="A6"/>
                <w:rFonts w:asciiTheme="minorHAnsi" w:hAnsiTheme="minorHAnsi"/>
                <w:bCs/>
                <w:sz w:val="22"/>
                <w:szCs w:val="22"/>
              </w:rPr>
              <w:t xml:space="preserve">The </w:t>
            </w:r>
            <w:r w:rsidRPr="007F2599">
              <w:rPr>
                <w:rStyle w:val="A6"/>
                <w:rFonts w:asciiTheme="minorHAnsi" w:hAnsiTheme="minorHAnsi"/>
                <w:b/>
                <w:bCs/>
                <w:sz w:val="22"/>
                <w:szCs w:val="22"/>
              </w:rPr>
              <w:t>Community Forensic Team</w:t>
            </w:r>
            <w:r w:rsidRPr="007F2599">
              <w:rPr>
                <w:rStyle w:val="A6"/>
                <w:rFonts w:asciiTheme="minorHAnsi" w:hAnsiTheme="minorHAnsi"/>
                <w:bCs/>
                <w:sz w:val="22"/>
                <w:szCs w:val="22"/>
              </w:rPr>
              <w:t xml:space="preserve"> is a specialist service that offers support and treatment to people who have offended or are inclined to offend as a result of their mental health, disorder or disability. </w:t>
            </w:r>
          </w:p>
          <w:p w:rsidR="007F2599" w:rsidRDefault="007F2599" w:rsidP="007F2599">
            <w:pPr>
              <w:pStyle w:val="Pa2"/>
              <w:jc w:val="both"/>
              <w:rPr>
                <w:rStyle w:val="A6"/>
                <w:rFonts w:asciiTheme="minorHAnsi" w:hAnsiTheme="minorHAnsi"/>
                <w:sz w:val="22"/>
                <w:szCs w:val="22"/>
              </w:rPr>
            </w:pPr>
          </w:p>
          <w:p w:rsidR="007F2599" w:rsidRDefault="007F2599" w:rsidP="007F2599">
            <w:pPr>
              <w:pStyle w:val="Pa2"/>
              <w:jc w:val="both"/>
              <w:rPr>
                <w:rStyle w:val="A6"/>
                <w:rFonts w:asciiTheme="minorHAnsi" w:hAnsiTheme="minorHAnsi"/>
                <w:sz w:val="22"/>
                <w:szCs w:val="22"/>
              </w:rPr>
            </w:pPr>
            <w:r>
              <w:rPr>
                <w:rStyle w:val="A6"/>
                <w:rFonts w:asciiTheme="minorHAnsi" w:hAnsiTheme="minorHAnsi"/>
                <w:sz w:val="22"/>
                <w:szCs w:val="22"/>
              </w:rPr>
              <w:t xml:space="preserve">The </w:t>
            </w:r>
            <w:r w:rsidRPr="007F2599">
              <w:rPr>
                <w:rStyle w:val="A6"/>
                <w:rFonts w:asciiTheme="minorHAnsi" w:hAnsiTheme="minorHAnsi"/>
                <w:sz w:val="22"/>
                <w:szCs w:val="22"/>
              </w:rPr>
              <w:t>Community Forensi</w:t>
            </w:r>
            <w:r>
              <w:rPr>
                <w:rStyle w:val="A6"/>
                <w:rFonts w:asciiTheme="minorHAnsi" w:hAnsiTheme="minorHAnsi"/>
                <w:sz w:val="22"/>
                <w:szCs w:val="22"/>
              </w:rPr>
              <w:t xml:space="preserve">c Team </w:t>
            </w:r>
            <w:r w:rsidRPr="007F2599">
              <w:rPr>
                <w:rStyle w:val="A6"/>
                <w:rFonts w:asciiTheme="minorHAnsi" w:hAnsiTheme="minorHAnsi"/>
                <w:sz w:val="22"/>
                <w:szCs w:val="22"/>
              </w:rPr>
              <w:t xml:space="preserve">work with people who have been involved with the police and court who have then needed diverting away under part </w:t>
            </w:r>
            <w:r>
              <w:rPr>
                <w:rStyle w:val="A6"/>
                <w:rFonts w:asciiTheme="minorHAnsi" w:hAnsiTheme="minorHAnsi"/>
                <w:sz w:val="22"/>
                <w:szCs w:val="22"/>
              </w:rPr>
              <w:t>3 of the Mental Health Act. The</w:t>
            </w:r>
            <w:r w:rsidRPr="007F2599">
              <w:rPr>
                <w:rStyle w:val="A6"/>
                <w:rFonts w:asciiTheme="minorHAnsi" w:hAnsiTheme="minorHAnsi"/>
                <w:sz w:val="22"/>
                <w:szCs w:val="22"/>
              </w:rPr>
              <w:t xml:space="preserve"> team is made up of two Band 6 practitioners and they hold a caseload of service users (some out of area in secure services and some in the community). Both practitioners are trained in specialist risk assessment such as the HCR 20 and therefore can offer joint work or help with assessments if there are concerns about risk. </w:t>
            </w:r>
          </w:p>
          <w:p w:rsidR="007F2599" w:rsidRPr="007F2599" w:rsidRDefault="007F2599" w:rsidP="007F2599"/>
          <w:p w:rsidR="007F2599" w:rsidRDefault="007F2599" w:rsidP="007F2599">
            <w:pPr>
              <w:pStyle w:val="Pa2"/>
              <w:jc w:val="both"/>
              <w:rPr>
                <w:rStyle w:val="A6"/>
                <w:rFonts w:asciiTheme="minorHAnsi" w:hAnsiTheme="minorHAnsi"/>
                <w:sz w:val="22"/>
                <w:szCs w:val="22"/>
              </w:rPr>
            </w:pPr>
            <w:r w:rsidRPr="007F2599">
              <w:rPr>
                <w:rStyle w:val="A6"/>
                <w:rFonts w:asciiTheme="minorHAnsi" w:hAnsiTheme="minorHAnsi"/>
                <w:sz w:val="22"/>
                <w:szCs w:val="22"/>
              </w:rPr>
              <w:t>The team offer CPA care coordination and case management of individuals who are detained under Part Three of the Mental Health Act (1983) or who are conditionally discharged 37/41 or CTO service users.</w:t>
            </w:r>
          </w:p>
          <w:p w:rsidR="007F2599" w:rsidRPr="007F2599" w:rsidRDefault="007F2599" w:rsidP="007F2599">
            <w:pPr>
              <w:pStyle w:val="Pa2"/>
              <w:jc w:val="both"/>
              <w:rPr>
                <w:rFonts w:asciiTheme="minorHAnsi" w:hAnsiTheme="minorHAnsi" w:cs="Century Gothic"/>
                <w:color w:val="000000"/>
                <w:sz w:val="22"/>
                <w:szCs w:val="22"/>
              </w:rPr>
            </w:pPr>
            <w:r w:rsidRPr="007F2599">
              <w:rPr>
                <w:rStyle w:val="A6"/>
                <w:rFonts w:asciiTheme="minorHAnsi" w:hAnsiTheme="minorHAnsi"/>
                <w:sz w:val="22"/>
                <w:szCs w:val="22"/>
              </w:rPr>
              <w:t xml:space="preserve"> </w:t>
            </w:r>
          </w:p>
          <w:p w:rsidR="007F2599" w:rsidRPr="007F2599" w:rsidRDefault="007F2599" w:rsidP="007F2599">
            <w:pPr>
              <w:pStyle w:val="Pa2"/>
              <w:jc w:val="both"/>
              <w:rPr>
                <w:rFonts w:asciiTheme="minorHAnsi" w:hAnsiTheme="minorHAnsi" w:cs="Century Gothic"/>
                <w:color w:val="000000"/>
                <w:sz w:val="22"/>
                <w:szCs w:val="22"/>
              </w:rPr>
            </w:pPr>
            <w:r w:rsidRPr="007F2599">
              <w:rPr>
                <w:rStyle w:val="A6"/>
                <w:rFonts w:asciiTheme="minorHAnsi" w:hAnsiTheme="minorHAnsi"/>
                <w:sz w:val="22"/>
                <w:szCs w:val="22"/>
              </w:rPr>
              <w:t xml:space="preserve">The service supports people within the community and puts appropriate safety measures in place. </w:t>
            </w:r>
          </w:p>
          <w:p w:rsidR="007F2599" w:rsidRPr="007F2599" w:rsidRDefault="007F2599" w:rsidP="007F2599">
            <w:pPr>
              <w:rPr>
                <w:rFonts w:cs="Arial"/>
              </w:rPr>
            </w:pPr>
            <w:r w:rsidRPr="007F2599">
              <w:rPr>
                <w:rStyle w:val="A6"/>
                <w:sz w:val="22"/>
                <w:szCs w:val="22"/>
              </w:rPr>
              <w:t>Forensic Service referrals are made through local psychiatric services and the criminal justice agencies.</w:t>
            </w:r>
          </w:p>
          <w:p w:rsidR="007F2599" w:rsidRDefault="007F2599" w:rsidP="00D238AF">
            <w:pPr>
              <w:rPr>
                <w:rFonts w:cs="Arial"/>
                <w:b/>
              </w:rPr>
            </w:pPr>
          </w:p>
          <w:p w:rsidR="00D91518" w:rsidRPr="00D91518" w:rsidRDefault="00D91518" w:rsidP="00D238AF">
            <w:pPr>
              <w:rPr>
                <w:rFonts w:cs="Arial"/>
              </w:rPr>
            </w:pPr>
            <w:r>
              <w:rPr>
                <w:rFonts w:cs="Arial"/>
              </w:rPr>
              <w:t xml:space="preserve">The Liaison and Diversion Team is a dedicated service which is a NHS England funded project to address health inequalities for vulnerable people who enter the criminal justice system. The service identifies need and then signposts and offers support for people to engage with the services who can meet them. The service is all age and all criminal responsibility. We are not a treatment service and can only accept referrals from the criminal justice system but can work alongside your service if you have service users who are currently involved with the police or court. We are made up of a mixture of staff </w:t>
            </w:r>
            <w:proofErr w:type="gramStart"/>
            <w:r>
              <w:rPr>
                <w:rFonts w:cs="Arial"/>
              </w:rPr>
              <w:t>who</w:t>
            </w:r>
            <w:proofErr w:type="gramEnd"/>
            <w:r>
              <w:rPr>
                <w:rFonts w:cs="Arial"/>
              </w:rPr>
              <w:t xml:space="preserve"> have all identified skills in one of the many vulnerabilities we can work to support.   </w:t>
            </w:r>
          </w:p>
          <w:p w:rsidR="007F2599" w:rsidRDefault="007F2599" w:rsidP="00D91518">
            <w:pPr>
              <w:pStyle w:val="Pa16"/>
              <w:ind w:right="1080"/>
            </w:pPr>
          </w:p>
        </w:tc>
      </w:tr>
      <w:tr w:rsidR="00D238AF" w:rsidTr="00B3025B">
        <w:tc>
          <w:tcPr>
            <w:tcW w:w="2547" w:type="dxa"/>
          </w:tcPr>
          <w:p w:rsidR="00D238AF" w:rsidRDefault="00B3025B" w:rsidP="00D238AF">
            <w:pPr>
              <w:rPr>
                <w:rFonts w:ascii="Arial" w:hAnsi="Arial" w:cs="Arial"/>
                <w:b/>
              </w:rPr>
            </w:pPr>
            <w:r>
              <w:rPr>
                <w:rFonts w:ascii="Arial" w:hAnsi="Arial" w:cs="Arial"/>
                <w:b/>
              </w:rPr>
              <w:t xml:space="preserve">Team </w:t>
            </w:r>
            <w:r w:rsidR="00D238AF" w:rsidRPr="00D238AF">
              <w:rPr>
                <w:rFonts w:ascii="Arial" w:hAnsi="Arial" w:cs="Arial"/>
                <w:b/>
              </w:rPr>
              <w:t xml:space="preserve">Referral Route </w:t>
            </w:r>
          </w:p>
          <w:p w:rsidR="00D238AF" w:rsidRDefault="00D238AF" w:rsidP="00D238AF">
            <w:pPr>
              <w:rPr>
                <w:rFonts w:ascii="Arial" w:hAnsi="Arial" w:cs="Arial"/>
                <w:b/>
              </w:rPr>
            </w:pPr>
          </w:p>
          <w:p w:rsidR="00D238AF" w:rsidRDefault="00D238AF" w:rsidP="00D238AF">
            <w:pPr>
              <w:rPr>
                <w:rFonts w:ascii="Arial" w:hAnsi="Arial" w:cs="Arial"/>
                <w:b/>
              </w:rPr>
            </w:pPr>
          </w:p>
          <w:p w:rsidR="00D238AF" w:rsidRPr="00D238AF" w:rsidRDefault="00D238AF" w:rsidP="00D238AF">
            <w:pPr>
              <w:rPr>
                <w:rFonts w:ascii="Arial" w:hAnsi="Arial" w:cs="Arial"/>
                <w:b/>
              </w:rPr>
            </w:pPr>
          </w:p>
        </w:tc>
        <w:tc>
          <w:tcPr>
            <w:tcW w:w="6469" w:type="dxa"/>
          </w:tcPr>
          <w:p w:rsidR="007F2599" w:rsidRDefault="007F2599" w:rsidP="007F2599">
            <w:pPr>
              <w:rPr>
                <w:rStyle w:val="A6"/>
                <w:sz w:val="22"/>
                <w:szCs w:val="22"/>
              </w:rPr>
            </w:pPr>
            <w:r>
              <w:rPr>
                <w:rStyle w:val="A6"/>
                <w:sz w:val="22"/>
                <w:szCs w:val="22"/>
              </w:rPr>
              <w:t>Community Forensic Team</w:t>
            </w:r>
            <w:r w:rsidRPr="007F2599">
              <w:rPr>
                <w:rStyle w:val="A6"/>
                <w:sz w:val="22"/>
                <w:szCs w:val="22"/>
              </w:rPr>
              <w:t xml:space="preserve"> referrals are made </w:t>
            </w:r>
            <w:r>
              <w:rPr>
                <w:rStyle w:val="A6"/>
                <w:sz w:val="22"/>
                <w:szCs w:val="22"/>
              </w:rPr>
              <w:t xml:space="preserve">via Single Point of Access and </w:t>
            </w:r>
            <w:r w:rsidRPr="007F2599">
              <w:rPr>
                <w:rStyle w:val="A6"/>
                <w:sz w:val="22"/>
                <w:szCs w:val="22"/>
              </w:rPr>
              <w:t>criminal justice agencies.</w:t>
            </w:r>
          </w:p>
          <w:p w:rsidR="007F2599" w:rsidRDefault="007F2599" w:rsidP="00D238AF">
            <w:pPr>
              <w:rPr>
                <w:rStyle w:val="A6"/>
                <w:sz w:val="22"/>
                <w:szCs w:val="22"/>
              </w:rPr>
            </w:pPr>
            <w:r>
              <w:rPr>
                <w:rStyle w:val="A6"/>
                <w:sz w:val="22"/>
                <w:szCs w:val="22"/>
              </w:rPr>
              <w:t>Liaison and Diversion Team only accept referrals from the criminal justice system.</w:t>
            </w:r>
          </w:p>
          <w:p w:rsidR="00D91518" w:rsidRPr="00D91518" w:rsidRDefault="00D91518" w:rsidP="00D238AF">
            <w:pPr>
              <w:rPr>
                <w:rFonts w:cs="Century Gothic"/>
                <w:color w:val="000000"/>
              </w:rPr>
            </w:pPr>
            <w:bookmarkStart w:id="0" w:name="_GoBack"/>
            <w:bookmarkEnd w:id="0"/>
          </w:p>
        </w:tc>
      </w:tr>
    </w:tbl>
    <w:p w:rsidR="00E56AC0" w:rsidRPr="00E56AC0" w:rsidRDefault="00E56AC0" w:rsidP="00D91518">
      <w:pPr>
        <w:rPr>
          <w:rFonts w:ascii="Arial" w:hAnsi="Arial" w:cs="Arial"/>
          <w:b/>
          <w:sz w:val="28"/>
          <w:szCs w:val="28"/>
        </w:rPr>
      </w:pPr>
    </w:p>
    <w:sectPr w:rsidR="00E56AC0" w:rsidRPr="00E56A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C0"/>
    <w:rsid w:val="00150031"/>
    <w:rsid w:val="003E633F"/>
    <w:rsid w:val="004818B6"/>
    <w:rsid w:val="0051102B"/>
    <w:rsid w:val="005C0145"/>
    <w:rsid w:val="007F2599"/>
    <w:rsid w:val="009542CE"/>
    <w:rsid w:val="009B5778"/>
    <w:rsid w:val="00B3025B"/>
    <w:rsid w:val="00B41032"/>
    <w:rsid w:val="00D238AF"/>
    <w:rsid w:val="00D91518"/>
    <w:rsid w:val="00E56AC0"/>
    <w:rsid w:val="00F05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7F2599"/>
    <w:pPr>
      <w:autoSpaceDE w:val="0"/>
      <w:autoSpaceDN w:val="0"/>
      <w:adjustRightInd w:val="0"/>
      <w:spacing w:after="0" w:line="241" w:lineRule="atLeast"/>
    </w:pPr>
    <w:rPr>
      <w:rFonts w:ascii="Century Gothic" w:hAnsi="Century Gothic"/>
      <w:sz w:val="24"/>
      <w:szCs w:val="24"/>
    </w:rPr>
  </w:style>
  <w:style w:type="character" w:customStyle="1" w:styleId="A6">
    <w:name w:val="A6"/>
    <w:uiPriority w:val="99"/>
    <w:rsid w:val="007F2599"/>
    <w:rPr>
      <w:rFonts w:cs="Century Gothic"/>
      <w:color w:val="000000"/>
      <w:sz w:val="26"/>
      <w:szCs w:val="26"/>
    </w:rPr>
  </w:style>
  <w:style w:type="character" w:styleId="Hyperlink">
    <w:name w:val="Hyperlink"/>
    <w:basedOn w:val="DefaultParagraphFont"/>
    <w:uiPriority w:val="99"/>
    <w:unhideWhenUsed/>
    <w:rsid w:val="007F2599"/>
    <w:rPr>
      <w:color w:val="0563C1" w:themeColor="hyperlink"/>
      <w:u w:val="single"/>
    </w:rPr>
  </w:style>
  <w:style w:type="paragraph" w:customStyle="1" w:styleId="Pa5">
    <w:name w:val="Pa5"/>
    <w:basedOn w:val="Normal"/>
    <w:next w:val="Normal"/>
    <w:uiPriority w:val="99"/>
    <w:rsid w:val="007F2599"/>
    <w:pPr>
      <w:autoSpaceDE w:val="0"/>
      <w:autoSpaceDN w:val="0"/>
      <w:adjustRightInd w:val="0"/>
      <w:spacing w:after="0" w:line="241" w:lineRule="atLeast"/>
    </w:pPr>
    <w:rPr>
      <w:rFonts w:ascii="Century Gothic" w:hAnsi="Century Gothic"/>
      <w:sz w:val="24"/>
      <w:szCs w:val="24"/>
    </w:rPr>
  </w:style>
  <w:style w:type="character" w:customStyle="1" w:styleId="A28">
    <w:name w:val="A28"/>
    <w:uiPriority w:val="99"/>
    <w:rsid w:val="007F2599"/>
    <w:rPr>
      <w:rFonts w:cs="Century Gothic"/>
      <w:b/>
      <w:bCs/>
      <w:color w:val="000000"/>
      <w:sz w:val="28"/>
      <w:szCs w:val="28"/>
    </w:rPr>
  </w:style>
  <w:style w:type="paragraph" w:customStyle="1" w:styleId="Pa16">
    <w:name w:val="Pa16"/>
    <w:basedOn w:val="Normal"/>
    <w:next w:val="Normal"/>
    <w:uiPriority w:val="99"/>
    <w:rsid w:val="007F2599"/>
    <w:pPr>
      <w:autoSpaceDE w:val="0"/>
      <w:autoSpaceDN w:val="0"/>
      <w:adjustRightInd w:val="0"/>
      <w:spacing w:after="0" w:line="241" w:lineRule="atLeast"/>
    </w:pPr>
    <w:rPr>
      <w:rFonts w:ascii="Century Gothic" w:hAnsi="Century Goth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7F2599"/>
    <w:pPr>
      <w:autoSpaceDE w:val="0"/>
      <w:autoSpaceDN w:val="0"/>
      <w:adjustRightInd w:val="0"/>
      <w:spacing w:after="0" w:line="241" w:lineRule="atLeast"/>
    </w:pPr>
    <w:rPr>
      <w:rFonts w:ascii="Century Gothic" w:hAnsi="Century Gothic"/>
      <w:sz w:val="24"/>
      <w:szCs w:val="24"/>
    </w:rPr>
  </w:style>
  <w:style w:type="character" w:customStyle="1" w:styleId="A6">
    <w:name w:val="A6"/>
    <w:uiPriority w:val="99"/>
    <w:rsid w:val="007F2599"/>
    <w:rPr>
      <w:rFonts w:cs="Century Gothic"/>
      <w:color w:val="000000"/>
      <w:sz w:val="26"/>
      <w:szCs w:val="26"/>
    </w:rPr>
  </w:style>
  <w:style w:type="character" w:styleId="Hyperlink">
    <w:name w:val="Hyperlink"/>
    <w:basedOn w:val="DefaultParagraphFont"/>
    <w:uiPriority w:val="99"/>
    <w:unhideWhenUsed/>
    <w:rsid w:val="007F2599"/>
    <w:rPr>
      <w:color w:val="0563C1" w:themeColor="hyperlink"/>
      <w:u w:val="single"/>
    </w:rPr>
  </w:style>
  <w:style w:type="paragraph" w:customStyle="1" w:styleId="Pa5">
    <w:name w:val="Pa5"/>
    <w:basedOn w:val="Normal"/>
    <w:next w:val="Normal"/>
    <w:uiPriority w:val="99"/>
    <w:rsid w:val="007F2599"/>
    <w:pPr>
      <w:autoSpaceDE w:val="0"/>
      <w:autoSpaceDN w:val="0"/>
      <w:adjustRightInd w:val="0"/>
      <w:spacing w:after="0" w:line="241" w:lineRule="atLeast"/>
    </w:pPr>
    <w:rPr>
      <w:rFonts w:ascii="Century Gothic" w:hAnsi="Century Gothic"/>
      <w:sz w:val="24"/>
      <w:szCs w:val="24"/>
    </w:rPr>
  </w:style>
  <w:style w:type="character" w:customStyle="1" w:styleId="A28">
    <w:name w:val="A28"/>
    <w:uiPriority w:val="99"/>
    <w:rsid w:val="007F2599"/>
    <w:rPr>
      <w:rFonts w:cs="Century Gothic"/>
      <w:b/>
      <w:bCs/>
      <w:color w:val="000000"/>
      <w:sz w:val="28"/>
      <w:szCs w:val="28"/>
    </w:rPr>
  </w:style>
  <w:style w:type="paragraph" w:customStyle="1" w:styleId="Pa16">
    <w:name w:val="Pa16"/>
    <w:basedOn w:val="Normal"/>
    <w:next w:val="Normal"/>
    <w:uiPriority w:val="99"/>
    <w:rsid w:val="007F2599"/>
    <w:pPr>
      <w:autoSpaceDE w:val="0"/>
      <w:autoSpaceDN w:val="0"/>
      <w:adjustRightInd w:val="0"/>
      <w:spacing w:after="0" w:line="241" w:lineRule="atLeast"/>
    </w:pPr>
    <w:rPr>
      <w:rFonts w:ascii="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nglePointofAccess@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CPG IT</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Oliver</dc:creator>
  <cp:lastModifiedBy>Sarah Lee</cp:lastModifiedBy>
  <cp:revision>4</cp:revision>
  <cp:lastPrinted>2018-06-06T10:32:00Z</cp:lastPrinted>
  <dcterms:created xsi:type="dcterms:W3CDTF">2018-06-06T05:05:00Z</dcterms:created>
  <dcterms:modified xsi:type="dcterms:W3CDTF">2018-06-06T10:37:00Z</dcterms:modified>
</cp:coreProperties>
</file>