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01" w:rsidRPr="00A565D4" w:rsidRDefault="00A565D4">
      <w:pPr>
        <w:rPr>
          <w:b/>
          <w:sz w:val="28"/>
        </w:rPr>
      </w:pPr>
      <w:bookmarkStart w:id="0" w:name="_GoBack"/>
      <w:bookmarkEnd w:id="0"/>
      <w:r w:rsidRPr="00A565D4">
        <w:rPr>
          <w:b/>
          <w:sz w:val="28"/>
        </w:rPr>
        <w:t>Further information and links from Dawn Whittaker:</w:t>
      </w:r>
    </w:p>
    <w:p w:rsidR="00A565D4" w:rsidRDefault="00A565D4"/>
    <w:p w:rsidR="00A565D4" w:rsidRDefault="00A565D4" w:rsidP="00A565D4">
      <w:pPr>
        <w:rPr>
          <w:rFonts w:ascii="Calibri" w:hAnsi="Calibri"/>
          <w:color w:val="1F497D"/>
        </w:rPr>
      </w:pPr>
    </w:p>
    <w:p w:rsidR="00A565D4" w:rsidRDefault="00A565D4" w:rsidP="00A565D4">
      <w:pPr>
        <w:rPr>
          <w:b/>
          <w:bCs/>
          <w:color w:val="1F497D"/>
        </w:rPr>
      </w:pPr>
      <w:r>
        <w:rPr>
          <w:b/>
          <w:bCs/>
          <w:color w:val="1F497D"/>
        </w:rPr>
        <w:t>F</w:t>
      </w:r>
      <w:r>
        <w:rPr>
          <w:b/>
          <w:bCs/>
          <w:color w:val="1F497D"/>
        </w:rPr>
        <w:t xml:space="preserve">act sheets on all of the elements of </w:t>
      </w:r>
      <w:r>
        <w:rPr>
          <w:b/>
          <w:bCs/>
          <w:color w:val="1F497D"/>
        </w:rPr>
        <w:t xml:space="preserve">her </w:t>
      </w:r>
      <w:r>
        <w:rPr>
          <w:b/>
          <w:bCs/>
          <w:color w:val="1F497D"/>
        </w:rPr>
        <w:t>talk available from the Advocate’s Gateway:</w:t>
      </w:r>
      <w:r>
        <w:rPr>
          <w:b/>
          <w:bCs/>
          <w:color w:val="1F497D"/>
        </w:rPr>
        <w:t xml:space="preserve">  </w:t>
      </w:r>
      <w:r>
        <w:rPr>
          <w:b/>
          <w:bCs/>
          <w:color w:val="1F497D"/>
        </w:rPr>
        <w:t xml:space="preserve">The ‘toolkits’ and ‘resources’ sections will be most useful: </w:t>
      </w:r>
    </w:p>
    <w:p w:rsidR="00A565D4" w:rsidRDefault="00A565D4" w:rsidP="00A565D4">
      <w:pPr>
        <w:rPr>
          <w:color w:val="1F497D"/>
        </w:rPr>
      </w:pPr>
      <w:hyperlink r:id="rId4" w:history="1">
        <w:r>
          <w:rPr>
            <w:rStyle w:val="Hyperlink"/>
          </w:rPr>
          <w:t>https://www.theadvocatesgateway.org/</w:t>
        </w:r>
      </w:hyperlink>
    </w:p>
    <w:p w:rsidR="00A565D4" w:rsidRDefault="00A565D4" w:rsidP="00A565D4">
      <w:pPr>
        <w:rPr>
          <w:color w:val="1F497D"/>
        </w:rPr>
      </w:pPr>
    </w:p>
    <w:p w:rsidR="00A565D4" w:rsidRDefault="00A565D4" w:rsidP="00A565D4">
      <w:pPr>
        <w:rPr>
          <w:color w:val="1F497D"/>
        </w:rPr>
      </w:pPr>
    </w:p>
    <w:p w:rsidR="00A565D4" w:rsidRDefault="00A565D4" w:rsidP="00A565D4">
      <w:pPr>
        <w:rPr>
          <w:color w:val="1F497D"/>
        </w:rPr>
      </w:pPr>
      <w:r>
        <w:rPr>
          <w:color w:val="1F497D"/>
        </w:rPr>
        <w:t>In Control: PCP and Supported Decision Making tools / toolkits are available – aided by Helen Sanderson:</w:t>
      </w:r>
    </w:p>
    <w:p w:rsidR="00A565D4" w:rsidRDefault="00A565D4" w:rsidP="00A565D4">
      <w:pPr>
        <w:rPr>
          <w:color w:val="1F497D"/>
        </w:rPr>
      </w:pPr>
      <w:hyperlink r:id="rId5" w:history="1">
        <w:r>
          <w:rPr>
            <w:rStyle w:val="Hyperlink"/>
          </w:rPr>
          <w:t>http://www.in-control.org.uk/publications/toolkits.aspx</w:t>
        </w:r>
      </w:hyperlink>
    </w:p>
    <w:p w:rsidR="00A565D4" w:rsidRDefault="00A565D4" w:rsidP="00A565D4">
      <w:pPr>
        <w:pStyle w:val="Default"/>
      </w:pPr>
    </w:p>
    <w:p w:rsidR="00A565D4" w:rsidRDefault="00A565D4" w:rsidP="00A565D4">
      <w:pPr>
        <w:pStyle w:val="Default"/>
      </w:pPr>
    </w:p>
    <w:p w:rsidR="00A565D4" w:rsidRDefault="00A565D4" w:rsidP="00A565D4">
      <w:pPr>
        <w:rPr>
          <w:b/>
          <w:bCs/>
          <w:color w:val="1F497D"/>
        </w:rPr>
      </w:pPr>
      <w:r>
        <w:rPr>
          <w:b/>
          <w:bCs/>
        </w:rPr>
        <w:t>Mr Justice Charles: Facilitating participation of ‘P’:</w:t>
      </w:r>
    </w:p>
    <w:p w:rsidR="00A565D4" w:rsidRDefault="00A565D4" w:rsidP="00A565D4">
      <w:pPr>
        <w:rPr>
          <w:color w:val="1F497D"/>
        </w:rPr>
      </w:pPr>
      <w:hyperlink r:id="rId6" w:history="1">
        <w:r>
          <w:rPr>
            <w:rStyle w:val="Hyperlink"/>
          </w:rPr>
          <w:t>https://www.google.co.uk/url?sa=t&amp;rct=j&amp;q=&amp;esrc=s&amp;source=web&amp;cd=2&amp;cad=rja&amp;uact=8&amp;ved=0ahUKEwjCt9ztqvXYAhVpJ8AKHWLGBLcQFggwMAE&amp;url=https%3A%2F%2Fwww.familylaw.co.uk%2Fsystem%2Ffroala_assets%2Fdocuments%2F1245%2FPractice_Guidance_Vulnerable_Persons.pdf&amp;usg=AOvVaw11cUMD_wEdek_9ilf3YN89</w:t>
        </w:r>
      </w:hyperlink>
    </w:p>
    <w:p w:rsidR="00A565D4" w:rsidRDefault="00A565D4" w:rsidP="00A565D4">
      <w:pPr>
        <w:rPr>
          <w:color w:val="1F497D"/>
        </w:rPr>
      </w:pPr>
    </w:p>
    <w:p w:rsidR="00A565D4" w:rsidRDefault="00A565D4" w:rsidP="00A565D4">
      <w:pPr>
        <w:rPr>
          <w:color w:val="1F497D"/>
        </w:rPr>
      </w:pPr>
    </w:p>
    <w:p w:rsidR="00A565D4" w:rsidRDefault="00A565D4" w:rsidP="00A565D4">
      <w:pPr>
        <w:rPr>
          <w:b/>
          <w:bCs/>
          <w:color w:val="1F497D"/>
        </w:rPr>
      </w:pPr>
      <w:r>
        <w:rPr>
          <w:b/>
          <w:bCs/>
          <w:color w:val="1F497D"/>
        </w:rPr>
        <w:t xml:space="preserve">An excellent and very detailed research </w:t>
      </w:r>
      <w:proofErr w:type="spellStart"/>
      <w:r>
        <w:rPr>
          <w:b/>
          <w:bCs/>
          <w:color w:val="1F497D"/>
        </w:rPr>
        <w:t>rpt</w:t>
      </w:r>
      <w:proofErr w:type="spellEnd"/>
      <w:r>
        <w:rPr>
          <w:b/>
          <w:bCs/>
          <w:color w:val="1F497D"/>
        </w:rPr>
        <w:t xml:space="preserve"> on the topic: The Participation of P in Welfare Cases:</w:t>
      </w:r>
    </w:p>
    <w:p w:rsidR="00A565D4" w:rsidRDefault="00A565D4" w:rsidP="00A565D4">
      <w:pPr>
        <w:rPr>
          <w:color w:val="1F497D"/>
        </w:rPr>
      </w:pPr>
      <w:hyperlink r:id="rId7" w:history="1">
        <w:r>
          <w:rPr>
            <w:rStyle w:val="Hyperlink"/>
          </w:rPr>
          <w:t>http://sites.cardiff.ac.uk/wccop/new-research-report-the-participation-of-p-in-welfare-cases-in-the-court-of-protection/</w:t>
        </w:r>
      </w:hyperlink>
    </w:p>
    <w:p w:rsidR="00A565D4" w:rsidRDefault="00A565D4" w:rsidP="00A565D4">
      <w:pPr>
        <w:rPr>
          <w:color w:val="1F497D"/>
        </w:rPr>
      </w:pPr>
    </w:p>
    <w:p w:rsidR="00A565D4" w:rsidRDefault="00A565D4" w:rsidP="00A565D4">
      <w:pPr>
        <w:rPr>
          <w:color w:val="1F497D"/>
        </w:rPr>
      </w:pPr>
    </w:p>
    <w:p w:rsidR="00A565D4" w:rsidRDefault="00A565D4" w:rsidP="00A565D4">
      <w:pPr>
        <w:rPr>
          <w:b/>
          <w:bCs/>
          <w:color w:val="1F497D"/>
        </w:rPr>
      </w:pPr>
      <w:r>
        <w:rPr>
          <w:b/>
          <w:bCs/>
          <w:color w:val="1F497D"/>
        </w:rPr>
        <w:t xml:space="preserve">Relevant case law: My </w:t>
      </w:r>
      <w:proofErr w:type="spellStart"/>
      <w:r>
        <w:rPr>
          <w:b/>
          <w:bCs/>
          <w:color w:val="1F497D"/>
        </w:rPr>
        <w:t>LBX</w:t>
      </w:r>
      <w:proofErr w:type="spellEnd"/>
      <w:r>
        <w:rPr>
          <w:b/>
          <w:bCs/>
          <w:color w:val="1F497D"/>
        </w:rPr>
        <w:t xml:space="preserve"> cases, where they cite my approach and use examples from my report: </w:t>
      </w:r>
    </w:p>
    <w:p w:rsidR="00A565D4" w:rsidRDefault="00A565D4" w:rsidP="00A565D4">
      <w:pPr>
        <w:rPr>
          <w:color w:val="1F497D"/>
        </w:rPr>
      </w:pPr>
      <w:r>
        <w:rPr>
          <w:color w:val="1F497D"/>
        </w:rPr>
        <w:t xml:space="preserve">These long-running proceedings began nearly six years ago, the previous judgments being [2010] </w:t>
      </w:r>
      <w:proofErr w:type="spellStart"/>
      <w:r>
        <w:rPr>
          <w:color w:val="1F497D"/>
        </w:rPr>
        <w:t>EWHC</w:t>
      </w:r>
      <w:proofErr w:type="spellEnd"/>
      <w:r>
        <w:rPr>
          <w:color w:val="1F497D"/>
        </w:rPr>
        <w:t xml:space="preserve"> 2422, [2011] </w:t>
      </w:r>
      <w:proofErr w:type="spellStart"/>
      <w:r>
        <w:rPr>
          <w:color w:val="1F497D"/>
        </w:rPr>
        <w:t>EWHC</w:t>
      </w:r>
      <w:proofErr w:type="spellEnd"/>
      <w:r>
        <w:rPr>
          <w:color w:val="1F497D"/>
        </w:rPr>
        <w:t xml:space="preserve"> 2419, </w:t>
      </w:r>
      <w:hyperlink r:id="rId8" w:history="1">
        <w:r>
          <w:rPr>
            <w:rStyle w:val="Hyperlink"/>
          </w:rPr>
          <w:t xml:space="preserve">[2012] </w:t>
        </w:r>
        <w:proofErr w:type="spellStart"/>
        <w:r>
          <w:rPr>
            <w:rStyle w:val="Hyperlink"/>
          </w:rPr>
          <w:t>EWCA</w:t>
        </w:r>
        <w:proofErr w:type="spellEnd"/>
        <w:r>
          <w:rPr>
            <w:rStyle w:val="Hyperlink"/>
          </w:rPr>
          <w:t xml:space="preserve"> </w:t>
        </w:r>
        <w:proofErr w:type="spellStart"/>
        <w:r>
          <w:rPr>
            <w:rStyle w:val="Hyperlink"/>
          </w:rPr>
          <w:t>Civ</w:t>
        </w:r>
        <w:proofErr w:type="spellEnd"/>
        <w:r>
          <w:rPr>
            <w:rStyle w:val="Hyperlink"/>
          </w:rPr>
          <w:t xml:space="preserve"> 79</w:t>
        </w:r>
      </w:hyperlink>
      <w:r>
        <w:rPr>
          <w:color w:val="1F497D"/>
        </w:rPr>
        <w:t xml:space="preserve">, [2012] </w:t>
      </w:r>
      <w:proofErr w:type="spellStart"/>
      <w:r>
        <w:rPr>
          <w:color w:val="1F497D"/>
        </w:rPr>
        <w:t>EWHC</w:t>
      </w:r>
      <w:proofErr w:type="spellEnd"/>
      <w:r>
        <w:rPr>
          <w:color w:val="1F497D"/>
        </w:rPr>
        <w:t xml:space="preserve"> 439. L was born in 1983 and had learning disabilities with an IQ of 59. His incapacity to decide on residence, care and contact was not previously in dispute but was considered to be borderline. In the first judgment, reported at </w:t>
      </w:r>
      <w:hyperlink r:id="rId9" w:history="1">
        <w:r>
          <w:rPr>
            <w:rStyle w:val="Hyperlink"/>
          </w:rPr>
          <w:t xml:space="preserve">[2013] </w:t>
        </w:r>
        <w:proofErr w:type="spellStart"/>
        <w:r>
          <w:rPr>
            <w:rStyle w:val="Hyperlink"/>
          </w:rPr>
          <w:t>EWHC</w:t>
        </w:r>
        <w:proofErr w:type="spellEnd"/>
        <w:r>
          <w:rPr>
            <w:rStyle w:val="Hyperlink"/>
          </w:rPr>
          <w:t xml:space="preserve"> 3230 (</w:t>
        </w:r>
        <w:proofErr w:type="gramStart"/>
        <w:r>
          <w:rPr>
            <w:rStyle w:val="Hyperlink"/>
          </w:rPr>
          <w:t>Fam</w:t>
        </w:r>
        <w:proofErr w:type="gramEnd"/>
        <w:r>
          <w:rPr>
            <w:rStyle w:val="Hyperlink"/>
          </w:rPr>
          <w:t>)</w:t>
        </w:r>
      </w:hyperlink>
      <w:r>
        <w:rPr>
          <w:color w:val="1F497D"/>
        </w:rPr>
        <w:t xml:space="preserve"> (but only recently made publicly available), </w:t>
      </w:r>
      <w:proofErr w:type="spellStart"/>
      <w:r>
        <w:rPr>
          <w:color w:val="1F497D"/>
        </w:rPr>
        <w:t>Theis</w:t>
      </w:r>
      <w:proofErr w:type="spellEnd"/>
      <w:r>
        <w:rPr>
          <w:color w:val="1F497D"/>
        </w:rPr>
        <w:t xml:space="preserve"> J concluded that a further assessment of L’s capacity was required. Five months later, in the second judgment, reported at </w:t>
      </w:r>
      <w:hyperlink r:id="rId10" w:history="1">
        <w:r>
          <w:rPr>
            <w:rStyle w:val="Hyperlink"/>
          </w:rPr>
          <w:t xml:space="preserve">[2013] </w:t>
        </w:r>
        <w:proofErr w:type="spellStart"/>
        <w:r>
          <w:rPr>
            <w:rStyle w:val="Hyperlink"/>
          </w:rPr>
          <w:t>EWHC</w:t>
        </w:r>
        <w:proofErr w:type="spellEnd"/>
        <w:r>
          <w:rPr>
            <w:rStyle w:val="Hyperlink"/>
          </w:rPr>
          <w:t xml:space="preserve"> 4170 (</w:t>
        </w:r>
        <w:proofErr w:type="gramStart"/>
        <w:r>
          <w:rPr>
            <w:rStyle w:val="Hyperlink"/>
          </w:rPr>
          <w:t>Fam</w:t>
        </w:r>
        <w:proofErr w:type="gramEnd"/>
        <w:r>
          <w:rPr>
            <w:rStyle w:val="Hyperlink"/>
          </w:rPr>
          <w:t>)</w:t>
        </w:r>
      </w:hyperlink>
      <w:r>
        <w:rPr>
          <w:color w:val="1F497D"/>
        </w:rPr>
        <w:t xml:space="preserve">, L was found to have capacity but the inherent jurisdiction was invoked to protect him. </w:t>
      </w:r>
    </w:p>
    <w:p w:rsidR="00A565D4" w:rsidRDefault="00A565D4" w:rsidP="00A565D4">
      <w:pPr>
        <w:rPr>
          <w:color w:val="1F497D"/>
        </w:rPr>
      </w:pPr>
    </w:p>
    <w:p w:rsidR="00A565D4" w:rsidRDefault="00A565D4" w:rsidP="00A565D4">
      <w:pPr>
        <w:rPr>
          <w:color w:val="1F497D"/>
        </w:rPr>
      </w:pPr>
    </w:p>
    <w:p w:rsidR="00A565D4" w:rsidRDefault="00A565D4" w:rsidP="00A565D4">
      <w:pPr>
        <w:rPr>
          <w:color w:val="1F497D"/>
        </w:rPr>
      </w:pPr>
      <w:r>
        <w:rPr>
          <w:b/>
          <w:bCs/>
          <w:color w:val="1F497D"/>
        </w:rPr>
        <w:t xml:space="preserve">Case </w:t>
      </w:r>
      <w:proofErr w:type="gramStart"/>
      <w:r>
        <w:rPr>
          <w:b/>
          <w:bCs/>
          <w:color w:val="1F497D"/>
        </w:rPr>
        <w:t>study  written</w:t>
      </w:r>
      <w:proofErr w:type="gramEnd"/>
      <w:r>
        <w:rPr>
          <w:b/>
          <w:bCs/>
          <w:color w:val="1F497D"/>
        </w:rPr>
        <w:t xml:space="preserve"> by Nicola Mackintosh QC (Hon): </w:t>
      </w:r>
      <w:hyperlink r:id="rId11" w:history="1">
        <w:r>
          <w:rPr>
            <w:rStyle w:val="Hyperlink"/>
          </w:rPr>
          <w:t>https://courtofprotectionhandbook.com/2016/09/30/guest-post-facilitating-participation-of-p-in-court-of-protection-proceedings/</w:t>
        </w:r>
      </w:hyperlink>
    </w:p>
    <w:p w:rsidR="00A565D4" w:rsidRDefault="00A565D4" w:rsidP="00A565D4">
      <w:pPr>
        <w:rPr>
          <w:color w:val="1F497D"/>
        </w:rPr>
      </w:pPr>
    </w:p>
    <w:p w:rsidR="00A565D4" w:rsidRDefault="00A565D4" w:rsidP="00A565D4">
      <w:pPr>
        <w:rPr>
          <w:color w:val="1F497D"/>
        </w:rPr>
      </w:pPr>
    </w:p>
    <w:p w:rsidR="00A565D4" w:rsidRDefault="00A565D4" w:rsidP="00A565D4">
      <w:pPr>
        <w:rPr>
          <w:color w:val="1F497D"/>
        </w:rPr>
      </w:pPr>
      <w:r>
        <w:rPr>
          <w:color w:val="1F497D"/>
        </w:rPr>
        <w:t xml:space="preserve">The video link for the film clip ‘Henry’: </w:t>
      </w:r>
      <w:hyperlink r:id="rId12" w:history="1">
        <w:r>
          <w:rPr>
            <w:rStyle w:val="Hyperlink"/>
          </w:rPr>
          <w:t>https://www.google.co.uk/url?sa=t&amp;rct=j&amp;q=&amp;esrc=s&amp;source=web&amp;cd=1&amp;cad=rja&amp;uact=8&amp;ved=0ahUKEwiJh_WWsPXYAhUpBcAKHcO6CoMQ3ywIKzAA&amp;url=https%3A%2F%2Fwww.youtube.com%2Fwatch%3Fv%3D5FWn4JB2YLU&amp;usg=AOvVaw0McrZ6-Fg5pYHSxJ9fEBg3</w:t>
        </w:r>
      </w:hyperlink>
    </w:p>
    <w:p w:rsidR="00A565D4" w:rsidRDefault="00A565D4"/>
    <w:sectPr w:rsidR="00A56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D4"/>
    <w:rsid w:val="00197358"/>
    <w:rsid w:val="00701182"/>
    <w:rsid w:val="007C6B01"/>
    <w:rsid w:val="00A5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5715"/>
  <w15:chartTrackingRefBased/>
  <w15:docId w15:val="{D9B48A3F-DED3-4B75-92E0-47890C4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82"/>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701182"/>
    <w:pPr>
      <w:keepNext/>
      <w:keepLines/>
      <w:outlineLvl w:val="0"/>
    </w:pPr>
    <w:rPr>
      <w:rFonts w:eastAsiaTheme="majorEastAsia"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701182"/>
    <w:pPr>
      <w:keepNext/>
      <w:keepLines/>
      <w:outlineLvl w:val="1"/>
    </w:pPr>
    <w:rPr>
      <w:rFonts w:eastAsiaTheme="majorEastAsia" w:cstheme="majorBidi"/>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82"/>
    <w:pPr>
      <w:spacing w:after="0" w:line="240" w:lineRule="auto"/>
    </w:pPr>
    <w:rPr>
      <w:rFonts w:ascii="Franklin Gothic Book" w:hAnsi="Franklin Gothic Book"/>
      <w:b/>
      <w:sz w:val="24"/>
    </w:rPr>
  </w:style>
  <w:style w:type="character" w:customStyle="1" w:styleId="Heading1Char">
    <w:name w:val="Heading 1 Char"/>
    <w:basedOn w:val="DefaultParagraphFont"/>
    <w:link w:val="Heading1"/>
    <w:uiPriority w:val="9"/>
    <w:rsid w:val="00701182"/>
    <w:rPr>
      <w:rFonts w:ascii="Franklin Gothic Book" w:eastAsiaTheme="majorEastAsia" w:hAnsi="Franklin Gothic Book" w:cstheme="majorBidi"/>
      <w:b/>
      <w:color w:val="2E74B5" w:themeColor="accent1" w:themeShade="BF"/>
      <w:sz w:val="24"/>
      <w:szCs w:val="32"/>
    </w:rPr>
  </w:style>
  <w:style w:type="character" w:customStyle="1" w:styleId="Heading2Char">
    <w:name w:val="Heading 2 Char"/>
    <w:basedOn w:val="DefaultParagraphFont"/>
    <w:link w:val="Heading2"/>
    <w:uiPriority w:val="9"/>
    <w:rsid w:val="00701182"/>
    <w:rPr>
      <w:rFonts w:ascii="Franklin Gothic Book" w:eastAsiaTheme="majorEastAsia" w:hAnsi="Franklin Gothic Book" w:cstheme="majorBidi"/>
      <w:i/>
      <w:color w:val="2E74B5" w:themeColor="accent1" w:themeShade="BF"/>
      <w:szCs w:val="26"/>
    </w:rPr>
  </w:style>
  <w:style w:type="character" w:styleId="Hyperlink">
    <w:name w:val="Hyperlink"/>
    <w:basedOn w:val="DefaultParagraphFont"/>
    <w:uiPriority w:val="99"/>
    <w:semiHidden/>
    <w:unhideWhenUsed/>
    <w:rsid w:val="00A565D4"/>
    <w:rPr>
      <w:color w:val="0000FF"/>
      <w:u w:val="single"/>
    </w:rPr>
  </w:style>
  <w:style w:type="paragraph" w:customStyle="1" w:styleId="Default">
    <w:name w:val="Default"/>
    <w:basedOn w:val="Normal"/>
    <w:rsid w:val="00A565D4"/>
    <w:pPr>
      <w:autoSpaceDE w:val="0"/>
      <w:autoSpaceDN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law.co.uk/Special:Link/http:/www.bailii.org/ew/cases/EWCA/Civ/2012/79.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es.cardiff.ac.uk/wccop/new-research-report-the-participation-of-p-in-welfare-cases-in-the-court-of-protection/" TargetMode="External"/><Relationship Id="rId12" Type="http://schemas.openxmlformats.org/officeDocument/2006/relationships/hyperlink" Target="https://www.google.co.uk/url?sa=t&amp;rct=j&amp;q=&amp;esrc=s&amp;source=web&amp;cd=1&amp;cad=rja&amp;uact=8&amp;ved=0ahUKEwiJh_WWsPXYAhUpBcAKHcO6CoMQ3ywIKzAA&amp;url=https%3A%2F%2Fwww.youtube.com%2Fwatch%3Fv%3D5FWn4JB2YLU&amp;usg=AOvVaw0McrZ6-Fg5pYHSxJ9fEBg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t&amp;rct=j&amp;q=&amp;esrc=s&amp;source=web&amp;cd=2&amp;cad=rja&amp;uact=8&amp;ved=0ahUKEwjCt9ztqvXYAhVpJ8AKHWLGBLcQFggwMAE&amp;url=https%3A%2F%2Fwww.familylaw.co.uk%2Fsystem%2Ffroala_assets%2Fdocuments%2F1245%2FPractice_Guidance_Vulnerable_Persons.pdf&amp;usg=AOvVaw11cUMD_wEdek_9ilf3YN89" TargetMode="External"/><Relationship Id="rId11" Type="http://schemas.openxmlformats.org/officeDocument/2006/relationships/hyperlink" Target="https://courtofprotectionhandbook.com/2016/09/30/guest-post-facilitating-participation-of-p-in-court-of-protection-proceedings/" TargetMode="External"/><Relationship Id="rId5" Type="http://schemas.openxmlformats.org/officeDocument/2006/relationships/hyperlink" Target="http://www.in-control.org.uk/publications/toolkits.aspx" TargetMode="External"/><Relationship Id="rId10" Type="http://schemas.openxmlformats.org/officeDocument/2006/relationships/hyperlink" Target="http://www.mentalhealthlaw.co.uk/Special:Link/http:/www.bailii.org/ew/cases/EWHC/Fam/2013/4170.html" TargetMode="External"/><Relationship Id="rId4" Type="http://schemas.openxmlformats.org/officeDocument/2006/relationships/hyperlink" Target="https://www.theadvocatesgateway.org/" TargetMode="External"/><Relationship Id="rId9" Type="http://schemas.openxmlformats.org/officeDocument/2006/relationships/hyperlink" Target="http://www.mentalhealthlaw.co.uk/Special:Link/http:/www.bailii.org/ew/cases/EWHC/Fam/2013/323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Vickers</dc:creator>
  <cp:keywords/>
  <dc:description/>
  <cp:lastModifiedBy>Marie Vickers</cp:lastModifiedBy>
  <cp:revision>1</cp:revision>
  <dcterms:created xsi:type="dcterms:W3CDTF">2018-10-16T15:04:00Z</dcterms:created>
  <dcterms:modified xsi:type="dcterms:W3CDTF">2018-10-16T15:07:00Z</dcterms:modified>
</cp:coreProperties>
</file>